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01" w:rsidRPr="00C82DAB" w:rsidRDefault="00D47801">
      <w:pPr>
        <w:rPr>
          <w:rFonts w:ascii="Liberation Serif" w:hAnsi="Liberation Serif" w:cs="Liberation Serif"/>
          <w:sz w:val="32"/>
          <w:szCs w:val="32"/>
        </w:rPr>
      </w:pPr>
    </w:p>
    <w:p w:rsidR="00A40917" w:rsidRPr="00A40917" w:rsidRDefault="00A40917" w:rsidP="00A40917">
      <w:pPr>
        <w:shd w:val="clear" w:color="auto" w:fill="FFFFFF"/>
        <w:spacing w:after="300"/>
        <w:jc w:val="center"/>
        <w:outlineLvl w:val="1"/>
        <w:rPr>
          <w:rFonts w:ascii="Liberation Serif" w:eastAsia="Times New Roman" w:hAnsi="Liberation Serif" w:cs="Liberation Serif"/>
          <w:color w:val="0D6EB2"/>
          <w:sz w:val="32"/>
          <w:szCs w:val="32"/>
          <w:lang w:eastAsia="ru-RU"/>
        </w:rPr>
      </w:pPr>
      <w:r w:rsidRPr="00A40917">
        <w:rPr>
          <w:rFonts w:ascii="Liberation Serif" w:eastAsia="Times New Roman" w:hAnsi="Liberation Serif" w:cs="Liberation Serif"/>
          <w:color w:val="0D6EB2"/>
          <w:sz w:val="32"/>
          <w:szCs w:val="32"/>
          <w:lang w:eastAsia="ru-RU"/>
        </w:rPr>
        <w:t>20 апреля – Национальный день донора в России</w:t>
      </w:r>
    </w:p>
    <w:p w:rsidR="00A40917" w:rsidRPr="00A40917" w:rsidRDefault="00A40917" w:rsidP="00A40917">
      <w:pPr>
        <w:shd w:val="clear" w:color="auto" w:fill="FFFFFF"/>
        <w:spacing w:after="375"/>
        <w:jc w:val="center"/>
        <w:outlineLvl w:val="1"/>
        <w:rPr>
          <w:rFonts w:ascii="Liberation Serif" w:eastAsia="Times New Roman" w:hAnsi="Liberation Serif" w:cs="Liberation Serif"/>
          <w:color w:val="0D6EB2"/>
          <w:sz w:val="32"/>
          <w:szCs w:val="32"/>
          <w:lang w:eastAsia="ru-RU"/>
        </w:rPr>
      </w:pPr>
      <w:bookmarkStart w:id="0" w:name="dd0"/>
      <w:bookmarkEnd w:id="0"/>
      <w:r w:rsidRPr="00A40917">
        <w:rPr>
          <w:rFonts w:ascii="Liberation Serif" w:eastAsia="Times New Roman" w:hAnsi="Liberation Serif" w:cs="Liberation Serif"/>
          <w:color w:val="0D6EB2"/>
          <w:sz w:val="32"/>
          <w:szCs w:val="32"/>
          <w:lang w:eastAsia="ru-RU"/>
        </w:rPr>
        <w:t>О Дне донора крови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Ежегодно 20 апреля в России отмечают Национальный день донора крови, а 14 июня – </w:t>
      </w:r>
      <w:hyperlink r:id="rId5" w:tgtFrame="_blank" w:history="1">
        <w:r w:rsidRPr="00A40917">
          <w:rPr>
            <w:rFonts w:ascii="Liberation Serif" w:eastAsia="Times New Roman" w:hAnsi="Liberation Serif" w:cs="Liberation Serif"/>
            <w:color w:val="0D6EB2"/>
            <w:sz w:val="28"/>
            <w:szCs w:val="28"/>
            <w:lang w:eastAsia="ru-RU"/>
          </w:rPr>
          <w:t>Всемирный день донора крови</w:t>
        </w:r>
      </w:hyperlink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. В этот день мы выражаем благодарность людям, которые добровольно и безвозмездно сдают свою кровь, необходимую для спасения человеческих жизней, и повышаем осведомлённость о необходимости регулярного донорства крови для обеспечения качества, безопасности и наличия крови и продуктов крови для нуждающихся в них пациентов.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Переливание крови и продуктов крови позволяет ежегодно спасать миллионы человеческих жизней. Оно помогает продлить жизнь пациентов, страдающих от состояний, которые представляют угрозу для жизни, и улучшить качество их жизни. Переливание крови и продуктов крови необходимо при проведении сложных медицинских и хирургических процедур. Оно также играет жизненно важную роль в области охраны здоровья матерей и детей и во время принятия чрезвычайных ответных мер в связи с антропогенными катастрофами и стихийными бедствиями.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Службы крови, обеспечивающие доступ пациентов к достаточным запасам безопасной крови и продуктов крови, являются ключевым компонентом эффективных систем здравоохранения. Надлежащее снабжение может быть обеспечено только благодаря регулярному, добровольному и безвозмездному донорству крови. Однако во многих странах службы крови сталкиваются с проблемами в обеспечении достаточных запасов качественной и безопасной крови.</w:t>
      </w:r>
    </w:p>
    <w:p w:rsidR="00A40917" w:rsidRPr="00A40917" w:rsidRDefault="00A40917" w:rsidP="00C82DAB">
      <w:pPr>
        <w:shd w:val="clear" w:color="auto" w:fill="FFFFFF"/>
        <w:jc w:val="center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C82DAB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917C4EF" wp14:editId="2B423BB0">
            <wp:extent cx="3686175" cy="2846861"/>
            <wp:effectExtent l="0" t="0" r="0" b="0"/>
            <wp:docPr id="1" name="Рисунок 1" descr="https://tosp-tula.ru/images/news/04_2023/donor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sp-tula.ru/images/news/04_2023/donor/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10" cy="286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17" w:rsidRPr="00A40917" w:rsidRDefault="00A40917" w:rsidP="00C82DAB">
      <w:pPr>
        <w:shd w:val="clear" w:color="auto" w:fill="FFFFFF"/>
        <w:jc w:val="center"/>
        <w:outlineLvl w:val="1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bookmarkStart w:id="1" w:name="dd1"/>
      <w:bookmarkEnd w:id="1"/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Кто может сдавать кровь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lastRenderedPageBreak/>
        <w:t>Многие здоровые люди могут сдавать кровь. Доноры крови должны соответствовать некоторым основным требованиям. Ниже перечислены некоторые основные рекомендации в отношении отбора доноров крови: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b/>
          <w:bCs/>
          <w:color w:val="201E18"/>
          <w:sz w:val="28"/>
          <w:szCs w:val="28"/>
          <w:lang w:eastAsia="ru-RU"/>
        </w:rPr>
        <w:t>Возраст</w:t>
      </w: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 от 18 до 65 лет.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b/>
          <w:bCs/>
          <w:color w:val="201E18"/>
          <w:sz w:val="28"/>
          <w:szCs w:val="28"/>
          <w:lang w:eastAsia="ru-RU"/>
        </w:rPr>
        <w:t>Вес</w:t>
      </w: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 не менее 50 кг.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Хорошее </w:t>
      </w:r>
      <w:r w:rsidRPr="00A40917">
        <w:rPr>
          <w:rFonts w:ascii="Liberation Serif" w:eastAsia="Times New Roman" w:hAnsi="Liberation Serif" w:cs="Liberation Serif"/>
          <w:b/>
          <w:bCs/>
          <w:color w:val="201E18"/>
          <w:sz w:val="28"/>
          <w:szCs w:val="28"/>
          <w:lang w:eastAsia="ru-RU"/>
        </w:rPr>
        <w:t>здоровье</w:t>
      </w: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 на момент сдачи крови.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Нельзя сдавать кровь при наличии простуды, гриппа, ангины, герпеса, расстройства желудка и какой-либо другой инфекции.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Нельзя сдавать кровь в течение 6 месяцев после нанесения татуировки или пирсинга.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Нельзя сдавать кровь, если показатели гемоглобина ниже минимального уровня, установленного для сдачи крови: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b/>
          <w:bCs/>
          <w:color w:val="201E18"/>
          <w:sz w:val="28"/>
          <w:szCs w:val="28"/>
          <w:lang w:eastAsia="ru-RU"/>
        </w:rPr>
        <w:t>Поведение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Нельзя сдавать кровь:</w:t>
      </w:r>
    </w:p>
    <w:p w:rsidR="00A40917" w:rsidRPr="00A40917" w:rsidRDefault="00A40917" w:rsidP="00C82DAB">
      <w:pPr>
        <w:numPr>
          <w:ilvl w:val="0"/>
          <w:numId w:val="2"/>
        </w:numPr>
        <w:shd w:val="clear" w:color="auto" w:fill="FFFFFF"/>
        <w:ind w:left="0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после «рискованных» форм сексуальной активности в течение последних 12 месяцев;</w:t>
      </w:r>
    </w:p>
    <w:p w:rsidR="00A40917" w:rsidRPr="00A40917" w:rsidRDefault="00A40917" w:rsidP="00C82DAB">
      <w:pPr>
        <w:numPr>
          <w:ilvl w:val="0"/>
          <w:numId w:val="2"/>
        </w:numPr>
        <w:shd w:val="clear" w:color="auto" w:fill="FFFFFF"/>
        <w:ind w:left="0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к сдаче крови ни при каких обстоятельствах не допускаются нижеперечисленные лица:</w:t>
      </w:r>
    </w:p>
    <w:p w:rsidR="00A40917" w:rsidRPr="00A40917" w:rsidRDefault="00A40917" w:rsidP="00C82DAB">
      <w:pPr>
        <w:numPr>
          <w:ilvl w:val="1"/>
          <w:numId w:val="2"/>
        </w:numPr>
        <w:shd w:val="clear" w:color="auto" w:fill="FFFFFF"/>
        <w:ind w:left="0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лица, когда-либо получившие положительный результат теста на ВИЧ-инфекцию;</w:t>
      </w:r>
    </w:p>
    <w:p w:rsidR="00A40917" w:rsidRPr="00A40917" w:rsidRDefault="00A40917" w:rsidP="00C82DAB">
      <w:pPr>
        <w:numPr>
          <w:ilvl w:val="1"/>
          <w:numId w:val="2"/>
        </w:numPr>
        <w:shd w:val="clear" w:color="auto" w:fill="FFFFFF"/>
        <w:ind w:left="0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 xml:space="preserve">лица, когда-либо употреблявшие инъекционные </w:t>
      </w:r>
      <w:proofErr w:type="spellStart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психоактивные</w:t>
      </w:r>
      <w:proofErr w:type="spellEnd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 xml:space="preserve"> вещества.</w:t>
      </w:r>
    </w:p>
    <w:p w:rsidR="00A40917" w:rsidRPr="00A40917" w:rsidRDefault="00A40917" w:rsidP="00C82DAB">
      <w:pPr>
        <w:shd w:val="clear" w:color="auto" w:fill="FFFFFF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b/>
          <w:bCs/>
          <w:color w:val="201E18"/>
          <w:sz w:val="28"/>
          <w:szCs w:val="28"/>
          <w:lang w:eastAsia="ru-RU"/>
        </w:rPr>
        <w:t>Беременность и грудное вскармливание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После беременности период воздержания от донорства крови должен составлять столько месяцев, сколько длилась беременность.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Во время грудного вскармливания сдавать кровь не рекомендуется. После родов период воздержания от донорства крови составляет как минимум 9 месяцев (в соответствии с продолжительностью беременности) и длится 3 месяца, в течение которых ребенок в значительной мере отлучен от груди (то есть получает большую часть своего питания в виде твёрдой пищи или искусственных смесей).</w:t>
      </w:r>
    </w:p>
    <w:p w:rsidR="00A40917" w:rsidRPr="00A40917" w:rsidRDefault="00A40917" w:rsidP="00C82DAB">
      <w:pPr>
        <w:shd w:val="clear" w:color="auto" w:fill="FFFFFF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b/>
          <w:bCs/>
          <w:color w:val="201E18"/>
          <w:sz w:val="28"/>
          <w:szCs w:val="28"/>
          <w:lang w:eastAsia="ru-RU"/>
        </w:rPr>
        <w:t>Памятка </w:t>
      </w:r>
      <w:hyperlink r:id="rId7" w:tgtFrame="_blank" w:history="1">
        <w:r w:rsidRPr="00A40917">
          <w:rPr>
            <w:rFonts w:ascii="Liberation Serif" w:eastAsia="Times New Roman" w:hAnsi="Liberation Serif" w:cs="Liberation Serif"/>
            <w:b/>
            <w:bCs/>
            <w:color w:val="0D6EB2"/>
            <w:sz w:val="28"/>
            <w:szCs w:val="28"/>
            <w:lang w:eastAsia="ru-RU"/>
          </w:rPr>
          <w:t>"</w:t>
        </w:r>
      </w:hyperlink>
      <w:hyperlink r:id="rId8" w:tgtFrame="_blank" w:history="1">
        <w:r w:rsidRPr="00A40917">
          <w:rPr>
            <w:rFonts w:ascii="Liberation Serif" w:eastAsia="Times New Roman" w:hAnsi="Liberation Serif" w:cs="Liberation Serif"/>
            <w:b/>
            <w:bCs/>
            <w:color w:val="0D6EB2"/>
            <w:sz w:val="28"/>
            <w:szCs w:val="28"/>
            <w:lang w:eastAsia="ru-RU"/>
          </w:rPr>
          <w:t>Дополнительная информация о критериях отбора доноров крови</w:t>
        </w:r>
      </w:hyperlink>
      <w:hyperlink r:id="rId9" w:tgtFrame="_blank" w:history="1">
        <w:r w:rsidRPr="00A40917">
          <w:rPr>
            <w:rFonts w:ascii="Liberation Serif" w:eastAsia="Times New Roman" w:hAnsi="Liberation Serif" w:cs="Liberation Serif"/>
            <w:b/>
            <w:bCs/>
            <w:color w:val="0D6EB2"/>
            <w:sz w:val="28"/>
            <w:szCs w:val="28"/>
            <w:lang w:eastAsia="ru-RU"/>
          </w:rPr>
          <w:t>"</w:t>
        </w:r>
      </w:hyperlink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br/>
      </w:r>
    </w:p>
    <w:p w:rsidR="00A40917" w:rsidRPr="00C82DAB" w:rsidRDefault="00A40917" w:rsidP="00C82DAB">
      <w:pPr>
        <w:shd w:val="clear" w:color="auto" w:fill="FFFFFF"/>
        <w:jc w:val="center"/>
        <w:outlineLvl w:val="1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bookmarkStart w:id="2" w:name="dd2"/>
      <w:bookmarkEnd w:id="2"/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Как стать донором (Стать донором просто!)</w:t>
      </w:r>
    </w:p>
    <w:p w:rsidR="00A40917" w:rsidRPr="00A40917" w:rsidRDefault="00A40917" w:rsidP="00C82DAB">
      <w:pPr>
        <w:shd w:val="clear" w:color="auto" w:fill="FFFFFF"/>
        <w:jc w:val="center"/>
        <w:outlineLvl w:val="1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r w:rsidRPr="00C82DAB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https://youtu.be/IkTTyG4519g</w:t>
      </w:r>
    </w:p>
    <w:p w:rsidR="00A40917" w:rsidRPr="00C82DAB" w:rsidRDefault="00A40917" w:rsidP="00C82DAB">
      <w:pPr>
        <w:shd w:val="clear" w:color="auto" w:fill="FFFFFF"/>
        <w:jc w:val="center"/>
        <w:outlineLvl w:val="1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bookmarkStart w:id="3" w:name="dd3"/>
      <w:bookmarkEnd w:id="3"/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 xml:space="preserve">Как правильно подготовиться к </w:t>
      </w:r>
      <w:proofErr w:type="spellStart"/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донации</w:t>
      </w:r>
      <w:proofErr w:type="spellEnd"/>
    </w:p>
    <w:p w:rsidR="00A40917" w:rsidRPr="00A40917" w:rsidRDefault="00A40917" w:rsidP="00C82DAB">
      <w:pPr>
        <w:shd w:val="clear" w:color="auto" w:fill="FFFFFF"/>
        <w:jc w:val="center"/>
        <w:outlineLvl w:val="1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r w:rsidRPr="00C82DAB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https://youtu.be/juNVavchStk</w:t>
      </w:r>
    </w:p>
    <w:p w:rsidR="00A40917" w:rsidRPr="00C82DAB" w:rsidRDefault="00A40917" w:rsidP="00C82DAB">
      <w:pPr>
        <w:shd w:val="clear" w:color="auto" w:fill="FFFFFF"/>
        <w:jc w:val="center"/>
        <w:outlineLvl w:val="1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bookmarkStart w:id="4" w:name="dd4"/>
      <w:bookmarkEnd w:id="4"/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 xml:space="preserve">Как вести себя после </w:t>
      </w:r>
      <w:proofErr w:type="spellStart"/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донации</w:t>
      </w:r>
      <w:proofErr w:type="spellEnd"/>
    </w:p>
    <w:p w:rsidR="00A40917" w:rsidRPr="00A40917" w:rsidRDefault="00A40917" w:rsidP="00C82DAB">
      <w:pPr>
        <w:shd w:val="clear" w:color="auto" w:fill="FFFFFF"/>
        <w:jc w:val="center"/>
        <w:outlineLvl w:val="1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r w:rsidRPr="00C82DAB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https://youtu.be/bx1OKK0yEy8</w:t>
      </w:r>
    </w:p>
    <w:p w:rsidR="00A40917" w:rsidRPr="00A40917" w:rsidRDefault="00A40917" w:rsidP="00C82DAB">
      <w:pPr>
        <w:shd w:val="clear" w:color="auto" w:fill="FFFFFF"/>
        <w:jc w:val="center"/>
        <w:outlineLvl w:val="1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bookmarkStart w:id="5" w:name="dd5"/>
      <w:bookmarkEnd w:id="5"/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Льготы и привилегии для доноров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Федеральным Законом от 20 июня 2012 года № 125-ФЗ Российской Федерации «О донорстве крови и её компонентов», а также Трудовым Кодексом Российской Федерации предусмотрены следующие льготы и привилегии для доноров.</w:t>
      </w:r>
    </w:p>
    <w:p w:rsidR="00A40917" w:rsidRPr="00A40917" w:rsidRDefault="00A40917" w:rsidP="00C82DAB">
      <w:pPr>
        <w:shd w:val="clear" w:color="auto" w:fill="FFFFFF"/>
        <w:jc w:val="center"/>
        <w:outlineLvl w:val="2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В день сдачи крови</w:t>
      </w:r>
    </w:p>
    <w:p w:rsidR="00A40917" w:rsidRPr="00A40917" w:rsidRDefault="00A40917" w:rsidP="00C82DAB">
      <w:pPr>
        <w:numPr>
          <w:ilvl w:val="0"/>
          <w:numId w:val="3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lastRenderedPageBreak/>
        <w:t>В соответствии со ст. 186 Трудового Кодекса РФ в день сдачи крови и её компонентов, а также в день медицинского обследования донор освобождается от работы, независимо от форм собственности, с сохранением за ним среднего заработка за эти дни. В случае если по соглашению с администрацией работник, являющийся донором, в день сдачи крови и её компонентов вышел на работу (за исключением работ,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 с сохранением за ним среднего заработка.</w:t>
      </w:r>
    </w:p>
    <w:p w:rsidR="00A40917" w:rsidRPr="00A40917" w:rsidRDefault="00A40917" w:rsidP="00C82DAB">
      <w:pPr>
        <w:numPr>
          <w:ilvl w:val="0"/>
          <w:numId w:val="3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Учреждение службы крови обеспечивает донора бесплатным питанием или компенсацией на обед.</w:t>
      </w:r>
    </w:p>
    <w:p w:rsidR="00A40917" w:rsidRPr="00A40917" w:rsidRDefault="00A40917" w:rsidP="00C82DAB">
      <w:pPr>
        <w:shd w:val="clear" w:color="auto" w:fill="FFFFFF"/>
        <w:jc w:val="center"/>
        <w:outlineLvl w:val="2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В выходной, в период ежегодного отпуска или в праздничный день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 xml:space="preserve">При совершении </w:t>
      </w:r>
      <w:proofErr w:type="spellStart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донации</w:t>
      </w:r>
      <w:proofErr w:type="spellEnd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 xml:space="preserve">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A40917" w:rsidRPr="00A40917" w:rsidRDefault="00A40917" w:rsidP="00C82DAB">
      <w:pPr>
        <w:numPr>
          <w:ilvl w:val="0"/>
          <w:numId w:val="4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Обратите внимание! Если работник сдавал кровь в период освобождения от работы по болезни, то другой день отдыха ему не предоставляется. После каждого дня сдачи крови и её компонентов работнику предоставляется дополнительный день отдыха. Этот день отдыха по желанию работника может быть присоединен к ежегодному оплачиваемому отпуску или использован в другое время в течение года со дня сдачи крови и её компонентов. Работодатель сохраняет за работником его средний заработок за дни сдачи крови и её компонентов и предоставленные в связи с этим дни отдыха.</w:t>
      </w:r>
    </w:p>
    <w:p w:rsidR="00A40917" w:rsidRPr="00A40917" w:rsidRDefault="00A40917" w:rsidP="00C82DAB">
      <w:pPr>
        <w:numPr>
          <w:ilvl w:val="0"/>
          <w:numId w:val="4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 xml:space="preserve">Для всех случаев определения среднего заработка, предусмотренных Трудовым кодексом РФ, устанавливается единый порядок его исчисления (ст. 139 </w:t>
      </w:r>
      <w:proofErr w:type="spellStart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ТК</w:t>
      </w:r>
      <w:proofErr w:type="spellEnd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 РФ). Данный порядок установлен Положением об особенностях порядка исчисления средней заработной платы, утвержденным Постановлением Правительства РФ от 24.12.2007 N 922.</w:t>
      </w:r>
    </w:p>
    <w:p w:rsidR="00A40917" w:rsidRPr="00A40917" w:rsidRDefault="00A40917" w:rsidP="00C82DAB">
      <w:pPr>
        <w:shd w:val="clear" w:color="auto" w:fill="FFFFFF"/>
        <w:jc w:val="center"/>
        <w:outlineLvl w:val="2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Для регулярных доноров</w:t>
      </w:r>
      <w:bookmarkStart w:id="6" w:name="_GoBack"/>
      <w:bookmarkEnd w:id="6"/>
    </w:p>
    <w:p w:rsidR="00A40917" w:rsidRPr="00A40917" w:rsidRDefault="00A40917" w:rsidP="00C82DAB">
      <w:pPr>
        <w:numPr>
          <w:ilvl w:val="0"/>
          <w:numId w:val="5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Доноры, безвозмездно сдавшие в течение года кровь и (или) её компоненты в суммарном количестве, равном двум максимально допустимым дозам, имеют право на первоочередное получение по месту работы или учёбы льготных путёвок для санаторно-курортного лечения.</w:t>
      </w:r>
    </w:p>
    <w:p w:rsidR="00A40917" w:rsidRPr="00A40917" w:rsidRDefault="00A40917" w:rsidP="00C82DAB">
      <w:pPr>
        <w:shd w:val="clear" w:color="auto" w:fill="FFFFFF"/>
        <w:jc w:val="center"/>
        <w:outlineLvl w:val="2"/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0D6EB2"/>
          <w:sz w:val="28"/>
          <w:szCs w:val="28"/>
          <w:lang w:eastAsia="ru-RU"/>
        </w:rPr>
        <w:t>Почетный донор России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В соответствии с Федеральным законом № 125-ФЗ «О донорстве крови и её компонентов» нагрудным знаком «Почётный донор России» награждаются граждане, сдавшие бесплатно:</w:t>
      </w:r>
    </w:p>
    <w:p w:rsidR="00A40917" w:rsidRPr="00A40917" w:rsidRDefault="00A40917" w:rsidP="00C82DAB">
      <w:pPr>
        <w:numPr>
          <w:ilvl w:val="0"/>
          <w:numId w:val="6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цельную кровь 40 и более раз;</w:t>
      </w:r>
    </w:p>
    <w:p w:rsidR="00A40917" w:rsidRPr="00A40917" w:rsidRDefault="00A40917" w:rsidP="00C82DAB">
      <w:pPr>
        <w:numPr>
          <w:ilvl w:val="0"/>
          <w:numId w:val="6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плазму 60 и более раз;</w:t>
      </w:r>
    </w:p>
    <w:p w:rsidR="00A40917" w:rsidRPr="00A40917" w:rsidRDefault="00A40917" w:rsidP="00C82DAB">
      <w:pPr>
        <w:numPr>
          <w:ilvl w:val="0"/>
          <w:numId w:val="6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цельную кровь 25 и более раз и плазму крови в общем количестве 40;</w:t>
      </w:r>
    </w:p>
    <w:p w:rsidR="00A40917" w:rsidRPr="00A40917" w:rsidRDefault="00A40917" w:rsidP="00C82DAB">
      <w:pPr>
        <w:numPr>
          <w:ilvl w:val="0"/>
          <w:numId w:val="6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цельную кровь менее 25 и плазму крови в общем количестве 60.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 xml:space="preserve">Законом предусмотрено, что </w:t>
      </w:r>
      <w:proofErr w:type="spellStart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донация</w:t>
      </w:r>
      <w:proofErr w:type="spellEnd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 xml:space="preserve"> любого клеточного компонента (эритроцитов, тромбоцитов или гранулоцитов) приравнивается к </w:t>
      </w:r>
      <w:proofErr w:type="spellStart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донации</w:t>
      </w:r>
      <w:proofErr w:type="spellEnd"/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 xml:space="preserve"> цельной крови.</w:t>
      </w:r>
    </w:p>
    <w:p w:rsidR="00A40917" w:rsidRPr="00A40917" w:rsidRDefault="00A40917" w:rsidP="00C82DAB">
      <w:pPr>
        <w:shd w:val="clear" w:color="auto" w:fill="FFFFFF"/>
        <w:jc w:val="center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b/>
          <w:bCs/>
          <w:color w:val="201E18"/>
          <w:sz w:val="28"/>
          <w:szCs w:val="28"/>
          <w:lang w:eastAsia="ru-RU"/>
        </w:rPr>
        <w:lastRenderedPageBreak/>
        <w:t>Почётные доноры имеют право на:</w:t>
      </w:r>
    </w:p>
    <w:p w:rsidR="00A40917" w:rsidRPr="00A40917" w:rsidRDefault="00A40917" w:rsidP="00C82DAB">
      <w:pPr>
        <w:numPr>
          <w:ilvl w:val="0"/>
          <w:numId w:val="7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внеочередное лечение в государственных или муниципальных организациях здравоохранения в рамках Программы государственных гарантий оказания гражданам Российской Федерации бесплатной медицинской помощи;</w:t>
      </w:r>
    </w:p>
    <w:p w:rsidR="00A40917" w:rsidRPr="00A40917" w:rsidRDefault="00A40917" w:rsidP="00C82DAB">
      <w:pPr>
        <w:numPr>
          <w:ilvl w:val="0"/>
          <w:numId w:val="7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первоочередное приобретение по месту работы или учёбы льготных путёвок для санаторно-курортного лечения;</w:t>
      </w:r>
    </w:p>
    <w:p w:rsidR="00A40917" w:rsidRPr="00A40917" w:rsidRDefault="00A40917" w:rsidP="00C82DAB">
      <w:pPr>
        <w:numPr>
          <w:ilvl w:val="0"/>
          <w:numId w:val="7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предоставление ежегодного оплачиваемого отпуска в удобное для них время года;</w:t>
      </w:r>
    </w:p>
    <w:p w:rsidR="00A40917" w:rsidRPr="00A40917" w:rsidRDefault="00A40917" w:rsidP="00C82DAB">
      <w:pPr>
        <w:numPr>
          <w:ilvl w:val="0"/>
          <w:numId w:val="7"/>
        </w:numPr>
        <w:shd w:val="clear" w:color="auto" w:fill="FFFFFF"/>
        <w:ind w:left="0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ежегодную денежную выплату.</w:t>
      </w:r>
    </w:p>
    <w:p w:rsidR="00A40917" w:rsidRPr="00A40917" w:rsidRDefault="00A40917" w:rsidP="00C82DAB">
      <w:pPr>
        <w:shd w:val="clear" w:color="auto" w:fill="FFFFFF"/>
        <w:jc w:val="both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  <w:t>Граждане Российской Федерации, награждённые знаком «Почётный донор СССР» и постоянно проживающие на территории Российской Федерации, имеют право на меры социальной поддержки «Почётного донора России».</w:t>
      </w:r>
    </w:p>
    <w:p w:rsidR="00A40917" w:rsidRPr="00A40917" w:rsidRDefault="00A40917" w:rsidP="00C82DAB">
      <w:pPr>
        <w:shd w:val="clear" w:color="auto" w:fill="FFFFFF"/>
        <w:jc w:val="center"/>
        <w:rPr>
          <w:rFonts w:ascii="Liberation Serif" w:eastAsia="Times New Roman" w:hAnsi="Liberation Serif" w:cs="Liberation Serif"/>
          <w:color w:val="201E18"/>
          <w:sz w:val="28"/>
          <w:szCs w:val="28"/>
          <w:lang w:eastAsia="ru-RU"/>
        </w:rPr>
      </w:pPr>
      <w:r w:rsidRPr="00A40917">
        <w:rPr>
          <w:rFonts w:ascii="Liberation Serif" w:eastAsia="Times New Roman" w:hAnsi="Liberation Serif" w:cs="Liberation Serif"/>
          <w:noProof/>
          <w:color w:val="0D6EB2"/>
          <w:sz w:val="28"/>
          <w:szCs w:val="28"/>
          <w:lang w:eastAsia="ru-RU"/>
        </w:rPr>
        <w:drawing>
          <wp:inline distT="0" distB="0" distL="0" distR="0" wp14:anchorId="191558C0" wp14:editId="13A8CC00">
            <wp:extent cx="4572000" cy="3048000"/>
            <wp:effectExtent l="0" t="0" r="0" b="0"/>
            <wp:docPr id="12" name="Рисунок 12" descr="den-donora-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n-donora-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17" w:rsidRPr="00C82DAB" w:rsidRDefault="00A40917" w:rsidP="00C82DAB">
      <w:pPr>
        <w:rPr>
          <w:rFonts w:ascii="Liberation Serif" w:hAnsi="Liberation Serif" w:cs="Liberation Serif"/>
          <w:sz w:val="28"/>
          <w:szCs w:val="28"/>
        </w:rPr>
      </w:pPr>
    </w:p>
    <w:sectPr w:rsidR="00A40917" w:rsidRPr="00C82DAB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8E4"/>
    <w:multiLevelType w:val="multilevel"/>
    <w:tmpl w:val="D760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E3208"/>
    <w:multiLevelType w:val="multilevel"/>
    <w:tmpl w:val="3552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46299"/>
    <w:multiLevelType w:val="multilevel"/>
    <w:tmpl w:val="BE4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D02AE"/>
    <w:multiLevelType w:val="multilevel"/>
    <w:tmpl w:val="101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42853"/>
    <w:multiLevelType w:val="multilevel"/>
    <w:tmpl w:val="6B4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ED47D1"/>
    <w:multiLevelType w:val="multilevel"/>
    <w:tmpl w:val="DE0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6E649C"/>
    <w:multiLevelType w:val="multilevel"/>
    <w:tmpl w:val="00C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C21"/>
    <w:rsid w:val="001E7A29"/>
    <w:rsid w:val="00225282"/>
    <w:rsid w:val="00726FCF"/>
    <w:rsid w:val="00752C21"/>
    <w:rsid w:val="009A036C"/>
    <w:rsid w:val="00A40917"/>
    <w:rsid w:val="00C82DAB"/>
    <w:rsid w:val="00D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E827"/>
  <w15:chartTrackingRefBased/>
  <w15:docId w15:val="{6392E4A3-2DB8-4706-9BEA-F796B8EB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19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ka.tomsk.ru/upload/medialibrary/471/471234b90e61205ccaaa6ae48b8f885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ilaktika.tomsk.ru/upload/medialibrary/471/471234b90e61205ccaaa6ae48b8f885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who.int/ru/campaigns/world-blood-donor-day" TargetMode="External"/><Relationship Id="rId10" Type="http://schemas.openxmlformats.org/officeDocument/2006/relationships/hyperlink" Target="https://profilaktika.tomsk.ru/upload/medialibrary/f7f/f7f9349766943ce3175ef849ec3ce5b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aktika.tomsk.ru/upload/medialibrary/471/471234b90e61205ccaaa6ae48b8f885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2023-04-13T11:08:00Z</dcterms:created>
  <dcterms:modified xsi:type="dcterms:W3CDTF">2023-04-14T08:15:00Z</dcterms:modified>
</cp:coreProperties>
</file>